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44"/>
        </w:rPr>
      </w:pPr>
    </w:p>
    <w:p>
      <w:pPr>
        <w:spacing w:line="52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小标宋_GBK" w:hAnsi="宋体" w:eastAsia="方正小标宋_GBK"/>
          <w:sz w:val="36"/>
          <w:szCs w:val="44"/>
        </w:rPr>
        <w:t>《医疗纠纷预防和处理条例》解读与运用</w:t>
      </w:r>
      <w:r>
        <w:rPr>
          <w:rFonts w:ascii="方正小标宋_GBK" w:hAnsi="宋体" w:eastAsia="方正小标宋_GBK"/>
          <w:sz w:val="36"/>
          <w:szCs w:val="44"/>
        </w:rPr>
        <w:t>培训班</w:t>
      </w:r>
      <w:r>
        <w:rPr>
          <w:rFonts w:hint="eastAsia" w:ascii="方正小标宋_GBK" w:hAnsi="宋体" w:eastAsia="方正小标宋_GBK"/>
          <w:sz w:val="36"/>
          <w:szCs w:val="44"/>
        </w:rPr>
        <w:t>回执</w:t>
      </w: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</w:p>
    <w:p>
      <w:pPr>
        <w:spacing w:line="520" w:lineRule="exact"/>
        <w:ind w:firstLine="140" w:firstLineChars="5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单位名称（盖章）：                     年    月    日</w:t>
      </w:r>
    </w:p>
    <w:tbl>
      <w:tblPr>
        <w:tblStyle w:val="5"/>
        <w:tblW w:w="94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29"/>
        <w:gridCol w:w="1901"/>
        <w:gridCol w:w="2019"/>
        <w:gridCol w:w="1323"/>
        <w:gridCol w:w="840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84" w:leftChars="-40" w:right="-84" w:rightChars="-4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预留住宿</w:t>
            </w:r>
          </w:p>
          <w:p>
            <w:pPr>
              <w:spacing w:line="400" w:lineRule="exact"/>
              <w:ind w:left="-84" w:leftChars="-40" w:right="-84" w:rightChars="-4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间数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住宿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天数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560" w:hanging="560" w:hanging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注： 1.请于1月7日以前传真至重庆市卫计委培训中心会务组。</w:t>
      </w: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2.传真：63651371。</w:t>
      </w: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"mailto:3511335895@qq.com。" </w:instrText>
      </w:r>
      <w:r>
        <w:rPr>
          <w:sz w:val="28"/>
          <w:szCs w:val="28"/>
        </w:rPr>
        <w:fldChar w:fldCharType="separate"/>
      </w:r>
      <w:r>
        <w:rPr>
          <w:rStyle w:val="4"/>
          <w:rFonts w:ascii="方正仿宋_GBK" w:eastAsia="方正仿宋_GBK"/>
          <w:color w:val="auto"/>
          <w:sz w:val="28"/>
          <w:szCs w:val="28"/>
          <w:u w:val="none"/>
        </w:rPr>
        <w:t>3511335895@qq.com</w:t>
      </w:r>
      <w:r>
        <w:rPr>
          <w:rStyle w:val="4"/>
          <w:rFonts w:hint="eastAsia" w:ascii="方正仿宋_GBK" w:eastAsia="方正仿宋_GBK"/>
          <w:color w:val="auto"/>
          <w:sz w:val="28"/>
          <w:szCs w:val="28"/>
          <w:u w:val="none"/>
        </w:rPr>
        <w:t>。</w:t>
      </w:r>
      <w:r>
        <w:rPr>
          <w:rFonts w:hint="eastAsia" w:ascii="方正仿宋_GBK" w:eastAsia="方正仿宋_GBK"/>
          <w:sz w:val="28"/>
          <w:szCs w:val="28"/>
        </w:rPr>
        <w:fldChar w:fldCharType="end"/>
      </w: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</w:p>
    <w:p>
      <w:pPr>
        <w:spacing w:line="520" w:lineRule="exact"/>
        <w:ind w:left="638" w:leftChars="304" w:firstLine="103" w:firstLineChars="37"/>
        <w:rPr>
          <w:rFonts w:hint="eastAsia" w:ascii="方正仿宋_GBK" w:eastAsia="方正仿宋_GBK"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left="638" w:leftChars="304"/>
        <w:rPr>
          <w:rFonts w:hint="eastAsia" w:ascii="方正仿宋_GBK" w:eastAsia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248" w:firstLineChars="100"/>
        <w:rPr>
          <w:rFonts w:hint="eastAsia" w:ascii="方正仿宋_GBK" w:eastAsia="方正仿宋_GBK"/>
          <w:sz w:val="32"/>
          <w:szCs w:val="32"/>
        </w:rPr>
      </w:pP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3.35pt;height:0.8pt;width:442.2pt;z-index:251659264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azrLLVAAAABgEAAA8AAAAAAAAA&#10;AQAgAAAAIgAAAGRycy9kb3ducmV2LnhtbFBLAQIUABQAAAAIAIdO4kAKbLzf2wEAAJwDAAAOAAAA&#10;AAAAAAEAIAAAACQBAABkcnMvZTJvRG9jLnhtbFBLBQYAAAAABgAGAFkBAABxBQAAAAA=&#10;">
                <v:path arrowok="t"/>
                <v:fill on="f" focussize="0,0"/>
                <v:stroke weight="0.35pt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26.95pt;height:0.75pt;width:442.2pt;z-index:251660288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v7+Dc2QAAAAgBAAAPAAAAAAAA&#10;AAEAIAAAACIAAABkcnMvZG93bnJldi54bWxQSwECFAAUAAAACACHTuJANkZV9dgBAACbAwAADgAA&#10;AAAAAAABACAAAAAoAQAAZHJzL2Uyb0RvYy54bWxQSwUGAAAAAAYABgBZAQAAcgUAAAAA&#10;">
                <v:path arrowok="t"/>
                <v:fill on="f" focussize="0,0"/>
                <v:stroke weight="0.35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w:t>重庆市卫生和计划生育委员会医院管理培训中心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201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>8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年12月10日印发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33ADF"/>
    <w:rsid w:val="5CD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2018-12-23T07:38:00Z</dcterms:created>
  <dc:creator>。</dc:creator>
  <cp:lastModifiedBy>。</cp:lastModifiedBy>
  <dcterms:modified xsi:type="dcterms:W3CDTF">2018-12-23T07:38:41Z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