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0" w:lineRule="exact"/>
        <w:jc w:val="left"/>
        <w:rPr>
          <w:rFonts w:hint="eastAsia" w:ascii="方正黑体_GBK" w:hAnsi="宋体" w:eastAsia="方正黑体_GBK" w:cs="宋体"/>
          <w:kern w:val="0"/>
          <w:sz w:val="32"/>
          <w:szCs w:val="32"/>
        </w:rPr>
      </w:pPr>
      <w:r>
        <w:rPr>
          <w:rFonts w:hint="eastAsia" w:ascii="方正黑体_GBK" w:hAnsi="宋体" w:eastAsia="方正黑体_GBK" w:cs="宋体"/>
          <w:kern w:val="0"/>
          <w:sz w:val="32"/>
          <w:szCs w:val="32"/>
        </w:rPr>
        <w:t>附件1</w:t>
      </w:r>
    </w:p>
    <w:p>
      <w:pPr>
        <w:widowControl/>
        <w:spacing w:line="570" w:lineRule="exact"/>
        <w:ind w:firstLine="420"/>
        <w:jc w:val="left"/>
        <w:rPr>
          <w:rFonts w:hint="eastAsia" w:ascii="仿宋_GB2312" w:hAnsi="宋体" w:eastAsia="仿宋_GB2312" w:cs="宋体"/>
          <w:kern w:val="0"/>
          <w:sz w:val="32"/>
          <w:szCs w:val="32"/>
        </w:rPr>
      </w:pPr>
    </w:p>
    <w:p>
      <w:pPr>
        <w:spacing w:line="600" w:lineRule="exact"/>
        <w:jc w:val="center"/>
        <w:rPr>
          <w:rFonts w:hint="eastAsia" w:ascii="方正小标宋_GBK" w:hAnsi="新宋体" w:eastAsia="方正小标宋_GBK" w:cs="宋体"/>
          <w:color w:val="000000"/>
          <w:kern w:val="0"/>
          <w:sz w:val="44"/>
          <w:szCs w:val="44"/>
        </w:rPr>
      </w:pPr>
      <w:r>
        <w:rPr>
          <w:rFonts w:hint="eastAsia" w:ascii="方正小标宋_GBK" w:hAnsi="宋体" w:eastAsia="方正小标宋_GBK" w:cs="宋体"/>
          <w:kern w:val="0"/>
          <w:sz w:val="44"/>
          <w:szCs w:val="44"/>
        </w:rPr>
        <w:t>重庆</w:t>
      </w:r>
      <w:r>
        <w:rPr>
          <w:rFonts w:hint="eastAsia" w:ascii="方正小标宋_GBK" w:hAnsi="新宋体" w:eastAsia="方正小标宋_GBK" w:cs="宋体"/>
          <w:color w:val="000000"/>
          <w:kern w:val="0"/>
          <w:sz w:val="44"/>
          <w:szCs w:val="44"/>
        </w:rPr>
        <w:t>市卫生健康系统公派出国储备人员</w:t>
      </w:r>
    </w:p>
    <w:p>
      <w:pPr>
        <w:spacing w:line="600" w:lineRule="exact"/>
        <w:jc w:val="center"/>
        <w:rPr>
          <w:rFonts w:hint="eastAsia" w:ascii="方正小标宋_GBK" w:hAnsi="宋体" w:eastAsia="方正小标宋_GBK" w:cs="宋体"/>
          <w:kern w:val="0"/>
          <w:sz w:val="44"/>
          <w:szCs w:val="44"/>
        </w:rPr>
      </w:pPr>
      <w:r>
        <w:rPr>
          <w:rFonts w:hint="eastAsia" w:ascii="方正小标宋_GBK" w:hAnsi="新宋体" w:eastAsia="方正小标宋_GBK" w:cs="宋体"/>
          <w:color w:val="000000"/>
          <w:kern w:val="0"/>
          <w:sz w:val="44"/>
          <w:szCs w:val="44"/>
        </w:rPr>
        <w:t>英语进修班招生简章</w:t>
      </w:r>
    </w:p>
    <w:p>
      <w:pPr>
        <w:spacing w:line="600" w:lineRule="exact"/>
        <w:ind w:firstLine="640" w:firstLineChars="200"/>
        <w:jc w:val="center"/>
        <w:rPr>
          <w:rFonts w:hint="eastAsia" w:ascii="黑体" w:hAnsi="新宋体" w:eastAsia="黑体" w:cs="宋体"/>
          <w:color w:val="000000"/>
          <w:kern w:val="0"/>
          <w:sz w:val="32"/>
          <w:szCs w:val="32"/>
        </w:rPr>
      </w:pPr>
    </w:p>
    <w:p>
      <w:pPr>
        <w:tabs>
          <w:tab w:val="left" w:pos="1440"/>
        </w:tabs>
        <w:spacing w:line="600" w:lineRule="exact"/>
        <w:ind w:firstLine="640" w:firstLineChars="200"/>
        <w:rPr>
          <w:rFonts w:hint="eastAsia" w:ascii="方正黑体_GBK" w:hAnsi="宋体" w:eastAsia="方正黑体_GBK" w:cs="Times New Roman"/>
          <w:color w:val="000000"/>
          <w:kern w:val="10"/>
          <w:sz w:val="32"/>
          <w:szCs w:val="32"/>
        </w:rPr>
      </w:pPr>
      <w:r>
        <w:rPr>
          <w:rFonts w:hint="eastAsia" w:ascii="方正黑体_GBK" w:hAnsi="宋体" w:eastAsia="方正黑体_GBK" w:cs="Times New Roman"/>
          <w:color w:val="000000"/>
          <w:kern w:val="10"/>
          <w:sz w:val="32"/>
          <w:szCs w:val="32"/>
        </w:rPr>
        <w:t>一、培训目的</w:t>
      </w:r>
    </w:p>
    <w:p>
      <w:pPr>
        <w:spacing w:line="600" w:lineRule="exact"/>
        <w:ind w:firstLine="627" w:firstLineChars="196"/>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提高参训学员英语交流沟通能力，为我市卫生计生国际交流与合作储备人才。</w:t>
      </w:r>
    </w:p>
    <w:p>
      <w:pPr>
        <w:spacing w:line="600" w:lineRule="exact"/>
        <w:ind w:firstLine="640" w:firstLineChars="200"/>
        <w:rPr>
          <w:rFonts w:hint="eastAsia" w:ascii="方正黑体_GBK" w:hAnsi="Times New Roman" w:eastAsia="方正黑体_GBK" w:cs="Times New Roman"/>
          <w:sz w:val="32"/>
          <w:szCs w:val="32"/>
        </w:rPr>
      </w:pPr>
      <w:r>
        <w:rPr>
          <w:rFonts w:hint="eastAsia" w:ascii="方正黑体_GBK" w:hAnsi="宋体" w:eastAsia="方正黑体_GBK" w:cs="Times New Roman"/>
          <w:bCs/>
          <w:sz w:val="32"/>
          <w:szCs w:val="32"/>
        </w:rPr>
        <w:t>二、</w:t>
      </w:r>
      <w:r>
        <w:rPr>
          <w:rFonts w:hint="eastAsia" w:ascii="方正黑体_GBK" w:hAnsi="Times New Roman" w:eastAsia="方正黑体_GBK" w:cs="Times New Roman"/>
          <w:sz w:val="32"/>
          <w:szCs w:val="32"/>
        </w:rPr>
        <w:t>培训对象应符合以下要求</w:t>
      </w:r>
    </w:p>
    <w:p>
      <w:pPr>
        <w:pStyle w:val="2"/>
        <w:spacing w:after="0" w:line="60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（一）思想政治素质好、业务技术较强，无医德医风问题；</w:t>
      </w:r>
    </w:p>
    <w:p>
      <w:pPr>
        <w:pStyle w:val="2"/>
        <w:spacing w:after="0" w:line="60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（二）具备大学本科以上学历（具备CET-4英语水平，或以上）；</w:t>
      </w:r>
    </w:p>
    <w:p>
      <w:pPr>
        <w:pStyle w:val="2"/>
        <w:spacing w:after="0" w:line="600" w:lineRule="exact"/>
        <w:ind w:left="64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（三）具备中级及以上专业技术职称；</w:t>
      </w:r>
    </w:p>
    <w:p>
      <w:pPr>
        <w:pStyle w:val="2"/>
        <w:spacing w:after="0" w:line="600" w:lineRule="exact"/>
        <w:ind w:left="64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（四）年龄50岁以下，身体健康。</w:t>
      </w:r>
    </w:p>
    <w:p>
      <w:pPr>
        <w:spacing w:line="600" w:lineRule="exact"/>
        <w:ind w:firstLine="640" w:firstLineChars="200"/>
        <w:rPr>
          <w:rFonts w:hint="eastAsia" w:ascii="方正黑体_GBK" w:hAnsi="宋体" w:eastAsia="方正黑体_GBK" w:cs="Times New Roman"/>
          <w:bCs/>
          <w:sz w:val="32"/>
          <w:szCs w:val="32"/>
        </w:rPr>
      </w:pPr>
      <w:r>
        <w:rPr>
          <w:rFonts w:hint="eastAsia" w:ascii="方正黑体_GBK" w:hAnsi="宋体" w:eastAsia="方正黑体_GBK" w:cs="Times New Roman"/>
          <w:bCs/>
          <w:sz w:val="32"/>
          <w:szCs w:val="32"/>
        </w:rPr>
        <w:t>三、课程设置</w:t>
      </w:r>
    </w:p>
    <w:tbl>
      <w:tblPr>
        <w:tblStyle w:val="3"/>
        <w:tblW w:w="8472" w:type="dxa"/>
        <w:jc w:val="center"/>
        <w:tblInd w:w="0" w:type="dxa"/>
        <w:tblLayout w:type="fixed"/>
        <w:tblCellMar>
          <w:top w:w="0" w:type="dxa"/>
          <w:left w:w="108" w:type="dxa"/>
          <w:bottom w:w="0" w:type="dxa"/>
          <w:right w:w="108" w:type="dxa"/>
        </w:tblCellMar>
      </w:tblPr>
      <w:tblGrid>
        <w:gridCol w:w="2874"/>
        <w:gridCol w:w="2588"/>
        <w:gridCol w:w="3010"/>
      </w:tblGrid>
      <w:tr>
        <w:tblPrEx>
          <w:tblLayout w:type="fixed"/>
          <w:tblCellMar>
            <w:top w:w="0" w:type="dxa"/>
            <w:left w:w="108" w:type="dxa"/>
            <w:bottom w:w="0" w:type="dxa"/>
            <w:right w:w="108" w:type="dxa"/>
          </w:tblCellMar>
        </w:tblPrEx>
        <w:trPr>
          <w:trHeight w:val="570" w:hRule="atLeast"/>
          <w:jc w:val="center"/>
        </w:trPr>
        <w:tc>
          <w:tcPr>
            <w:tcW w:w="287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宋体" w:eastAsia="方正仿宋_GBK" w:cs="Times New Roman"/>
                <w:bCs/>
                <w:sz w:val="24"/>
              </w:rPr>
            </w:pPr>
            <w:r>
              <w:rPr>
                <w:rFonts w:hint="eastAsia" w:ascii="方正仿宋_GBK" w:hAnsi="宋体" w:eastAsia="方正仿宋_GBK" w:cs="Times New Roman"/>
                <w:bCs/>
                <w:sz w:val="24"/>
              </w:rPr>
              <w:t>课程名称</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宋体" w:eastAsia="方正仿宋_GBK" w:cs="Times New Roman"/>
                <w:bCs/>
                <w:color w:val="FFFFFF"/>
                <w:sz w:val="24"/>
              </w:rPr>
            </w:pPr>
            <w:r>
              <w:rPr>
                <w:rFonts w:hint="eastAsia" w:ascii="方正仿宋_GBK" w:hAnsi="宋体" w:eastAsia="方正仿宋_GBK" w:cs="Times New Roman"/>
                <w:bCs/>
                <w:sz w:val="24"/>
              </w:rPr>
              <w:t>课程设置</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宋体" w:eastAsia="方正仿宋_GBK" w:cs="Times New Roman"/>
                <w:bCs/>
                <w:sz w:val="24"/>
              </w:rPr>
            </w:pPr>
            <w:r>
              <w:rPr>
                <w:rFonts w:hint="eastAsia" w:ascii="方正仿宋_GBK" w:hAnsi="宋体" w:eastAsia="方正仿宋_GBK" w:cs="Times New Roman"/>
                <w:bCs/>
                <w:sz w:val="24"/>
              </w:rPr>
              <w:t>课时数</w:t>
            </w:r>
          </w:p>
        </w:tc>
      </w:tr>
      <w:tr>
        <w:tblPrEx>
          <w:tblLayout w:type="fixed"/>
          <w:tblCellMar>
            <w:top w:w="0" w:type="dxa"/>
            <w:left w:w="108" w:type="dxa"/>
            <w:bottom w:w="0" w:type="dxa"/>
            <w:right w:w="108" w:type="dxa"/>
          </w:tblCellMar>
        </w:tblPrEx>
        <w:trPr>
          <w:trHeight w:val="402" w:hRule="atLeast"/>
          <w:jc w:val="center"/>
        </w:trPr>
        <w:tc>
          <w:tcPr>
            <w:tcW w:w="2874" w:type="dxa"/>
            <w:vMerge w:val="restart"/>
            <w:tcBorders>
              <w:left w:val="single" w:color="000000" w:sz="4" w:space="0"/>
              <w:right w:val="single" w:color="000000" w:sz="4" w:space="0"/>
            </w:tcBorders>
            <w:noWrap w:val="0"/>
            <w:vAlign w:val="center"/>
          </w:tcPr>
          <w:p>
            <w:pPr>
              <w:widowControl/>
              <w:spacing w:line="300" w:lineRule="exact"/>
              <w:jc w:val="center"/>
              <w:rPr>
                <w:rFonts w:hint="eastAsia" w:ascii="方正仿宋_GBK" w:hAnsi="宋体" w:eastAsia="方正仿宋_GBK" w:cs="Times New Roman"/>
                <w:bCs/>
                <w:sz w:val="24"/>
              </w:rPr>
            </w:pPr>
            <w:r>
              <w:rPr>
                <w:rFonts w:hint="eastAsia" w:ascii="方正仿宋_GBK" w:hAnsi="宋体" w:eastAsia="方正仿宋_GBK" w:cs="Times New Roman"/>
                <w:bCs/>
                <w:sz w:val="24"/>
              </w:rPr>
              <w:t>医学英语</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tabs>
                <w:tab w:val="left" w:pos="432"/>
              </w:tabs>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语法提高</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80</w:t>
            </w:r>
          </w:p>
        </w:tc>
      </w:tr>
      <w:tr>
        <w:tblPrEx>
          <w:tblLayout w:type="fixed"/>
          <w:tblCellMar>
            <w:top w:w="0" w:type="dxa"/>
            <w:left w:w="108" w:type="dxa"/>
            <w:bottom w:w="0" w:type="dxa"/>
            <w:right w:w="108" w:type="dxa"/>
          </w:tblCellMar>
        </w:tblPrEx>
        <w:trPr>
          <w:trHeight w:val="402" w:hRule="atLeast"/>
          <w:jc w:val="center"/>
        </w:trPr>
        <w:tc>
          <w:tcPr>
            <w:tcW w:w="2874"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方正仿宋_GBK" w:hAnsi="宋体" w:eastAsia="方正仿宋_GBK" w:cs="Times New Roman"/>
                <w:bCs/>
                <w:sz w:val="24"/>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tabs>
                <w:tab w:val="left" w:pos="432"/>
              </w:tabs>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词汇提高</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40</w:t>
            </w:r>
          </w:p>
        </w:tc>
      </w:tr>
      <w:tr>
        <w:tblPrEx>
          <w:tblLayout w:type="fixed"/>
          <w:tblCellMar>
            <w:top w:w="0" w:type="dxa"/>
            <w:left w:w="108" w:type="dxa"/>
            <w:bottom w:w="0" w:type="dxa"/>
            <w:right w:w="108" w:type="dxa"/>
          </w:tblCellMar>
        </w:tblPrEx>
        <w:trPr>
          <w:trHeight w:val="435" w:hRule="atLeast"/>
          <w:jc w:val="center"/>
        </w:trPr>
        <w:tc>
          <w:tcPr>
            <w:tcW w:w="2874" w:type="dxa"/>
            <w:vMerge w:val="restart"/>
            <w:tcBorders>
              <w:top w:val="single" w:color="000000" w:sz="4" w:space="0"/>
              <w:left w:val="single" w:color="000000" w:sz="4" w:space="0"/>
              <w:right w:val="single" w:color="000000" w:sz="4" w:space="0"/>
            </w:tcBorders>
            <w:noWrap w:val="0"/>
            <w:vAlign w:val="center"/>
          </w:tcPr>
          <w:p>
            <w:pPr>
              <w:spacing w:line="300" w:lineRule="exact"/>
              <w:jc w:val="center"/>
              <w:rPr>
                <w:rFonts w:hint="eastAsia" w:ascii="方正仿宋_GBK" w:hAnsi="宋体" w:eastAsia="方正仿宋_GBK" w:cs="Times New Roman"/>
                <w:bCs/>
                <w:sz w:val="24"/>
              </w:rPr>
            </w:pPr>
            <w:r>
              <w:rPr>
                <w:rFonts w:hint="eastAsia" w:ascii="方正仿宋_GBK" w:hAnsi="宋体" w:eastAsia="方正仿宋_GBK" w:cs="Times New Roman"/>
                <w:bCs/>
                <w:sz w:val="24"/>
              </w:rPr>
              <w:t>医学英语</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医学阅读</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30</w:t>
            </w:r>
          </w:p>
        </w:tc>
      </w:tr>
      <w:tr>
        <w:tblPrEx>
          <w:tblLayout w:type="fixed"/>
          <w:tblCellMar>
            <w:top w:w="0" w:type="dxa"/>
            <w:left w:w="108" w:type="dxa"/>
            <w:bottom w:w="0" w:type="dxa"/>
            <w:right w:w="108" w:type="dxa"/>
          </w:tblCellMar>
        </w:tblPrEx>
        <w:trPr>
          <w:trHeight w:val="435" w:hRule="atLeast"/>
          <w:jc w:val="center"/>
        </w:trPr>
        <w:tc>
          <w:tcPr>
            <w:tcW w:w="2874" w:type="dxa"/>
            <w:vMerge w:val="continue"/>
            <w:tcBorders>
              <w:left w:val="single" w:color="000000" w:sz="4" w:space="0"/>
              <w:right w:val="single" w:color="000000" w:sz="4" w:space="0"/>
            </w:tcBorders>
            <w:noWrap w:val="0"/>
            <w:vAlign w:val="center"/>
          </w:tcPr>
          <w:p>
            <w:pPr>
              <w:widowControl/>
              <w:spacing w:line="300" w:lineRule="exact"/>
              <w:jc w:val="left"/>
              <w:rPr>
                <w:rFonts w:hint="eastAsia" w:ascii="方正仿宋_GBK" w:hAnsi="宋体" w:eastAsia="方正仿宋_GBK" w:cs="Times New Roman"/>
                <w:bCs/>
                <w:sz w:val="24"/>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医学写作</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方正仿宋_GBK" w:hAnsi="Times New Roman" w:eastAsia="方正仿宋_GBK" w:cs="Times New Roman"/>
                <w:sz w:val="24"/>
              </w:rPr>
            </w:pPr>
            <w:r>
              <w:rPr>
                <w:rFonts w:hint="eastAsia" w:ascii="方正仿宋_GBK" w:hAnsi="Times New Roman" w:eastAsia="方正仿宋_GBK" w:cs="Times New Roman"/>
                <w:sz w:val="24"/>
              </w:rPr>
              <w:t>30</w:t>
            </w:r>
          </w:p>
        </w:tc>
      </w:tr>
      <w:tr>
        <w:tblPrEx>
          <w:tblLayout w:type="fixed"/>
          <w:tblCellMar>
            <w:top w:w="0" w:type="dxa"/>
            <w:left w:w="108" w:type="dxa"/>
            <w:bottom w:w="0" w:type="dxa"/>
            <w:right w:w="108" w:type="dxa"/>
          </w:tblCellMar>
        </w:tblPrEx>
        <w:trPr>
          <w:trHeight w:val="435" w:hRule="atLeast"/>
          <w:jc w:val="center"/>
        </w:trPr>
        <w:tc>
          <w:tcPr>
            <w:tcW w:w="2874" w:type="dxa"/>
            <w:vMerge w:val="continue"/>
            <w:tcBorders>
              <w:left w:val="single" w:color="000000" w:sz="4" w:space="0"/>
              <w:right w:val="single" w:color="000000" w:sz="4" w:space="0"/>
            </w:tcBorders>
            <w:noWrap w:val="0"/>
            <w:vAlign w:val="center"/>
          </w:tcPr>
          <w:p>
            <w:pPr>
              <w:widowControl/>
              <w:spacing w:line="300" w:lineRule="exact"/>
              <w:jc w:val="left"/>
              <w:rPr>
                <w:rFonts w:hint="eastAsia" w:ascii="方正仿宋_GBK" w:hAnsi="宋体" w:eastAsia="方正仿宋_GBK" w:cs="Times New Roman"/>
                <w:bCs/>
                <w:sz w:val="24"/>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医学听力</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方正仿宋_GBK" w:hAnsi="Times New Roman" w:eastAsia="方正仿宋_GBK" w:cs="Times New Roman"/>
                <w:sz w:val="24"/>
              </w:rPr>
            </w:pPr>
            <w:r>
              <w:rPr>
                <w:rFonts w:hint="eastAsia" w:ascii="方正仿宋_GBK" w:hAnsi="Times New Roman" w:eastAsia="方正仿宋_GBK" w:cs="Times New Roman"/>
                <w:sz w:val="24"/>
              </w:rPr>
              <w:t>30</w:t>
            </w:r>
          </w:p>
        </w:tc>
      </w:tr>
      <w:tr>
        <w:tblPrEx>
          <w:tblLayout w:type="fixed"/>
          <w:tblCellMar>
            <w:top w:w="0" w:type="dxa"/>
            <w:left w:w="108" w:type="dxa"/>
            <w:bottom w:w="0" w:type="dxa"/>
            <w:right w:w="108" w:type="dxa"/>
          </w:tblCellMar>
        </w:tblPrEx>
        <w:trPr>
          <w:trHeight w:val="435" w:hRule="atLeast"/>
          <w:jc w:val="center"/>
        </w:trPr>
        <w:tc>
          <w:tcPr>
            <w:tcW w:w="2874" w:type="dxa"/>
            <w:vMerge w:val="continue"/>
            <w:tcBorders>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方正仿宋_GBK" w:hAnsi="宋体" w:eastAsia="方正仿宋_GBK" w:cs="Times New Roman"/>
                <w:bCs/>
                <w:sz w:val="24"/>
              </w:rPr>
            </w:pP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医学口语</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方正仿宋_GBK" w:hAnsi="Times New Roman" w:eastAsia="方正仿宋_GBK" w:cs="Times New Roman"/>
                <w:sz w:val="24"/>
              </w:rPr>
            </w:pPr>
            <w:r>
              <w:rPr>
                <w:rFonts w:hint="eastAsia" w:ascii="方正仿宋_GBK" w:hAnsi="Times New Roman" w:eastAsia="方正仿宋_GBK" w:cs="Times New Roman"/>
                <w:sz w:val="24"/>
              </w:rPr>
              <w:t>30</w:t>
            </w:r>
          </w:p>
        </w:tc>
      </w:tr>
      <w:tr>
        <w:tblPrEx>
          <w:tblLayout w:type="fixed"/>
          <w:tblCellMar>
            <w:top w:w="0" w:type="dxa"/>
            <w:left w:w="108" w:type="dxa"/>
            <w:bottom w:w="0" w:type="dxa"/>
            <w:right w:w="108" w:type="dxa"/>
          </w:tblCellMar>
        </w:tblPrEx>
        <w:trPr>
          <w:trHeight w:val="488" w:hRule="atLeast"/>
          <w:jc w:val="center"/>
        </w:trPr>
        <w:tc>
          <w:tcPr>
            <w:tcW w:w="287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宋体" w:eastAsia="方正仿宋_GBK" w:cs="Times New Roman"/>
                <w:bCs/>
                <w:sz w:val="24"/>
              </w:rPr>
            </w:pPr>
            <w:r>
              <w:rPr>
                <w:rFonts w:hint="eastAsia" w:ascii="方正仿宋_GBK" w:hAnsi="宋体" w:eastAsia="方正仿宋_GBK" w:cs="Times New Roman"/>
                <w:bCs/>
                <w:sz w:val="24"/>
              </w:rPr>
              <w:t>外教专题</w:t>
            </w:r>
          </w:p>
        </w:tc>
        <w:tc>
          <w:tcPr>
            <w:tcW w:w="258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Times New Roman" w:eastAsia="方正仿宋_GBK" w:cs="Times New Roman"/>
                <w:sz w:val="24"/>
              </w:rPr>
            </w:pPr>
            <w:r>
              <w:rPr>
                <w:rFonts w:hint="eastAsia" w:ascii="方正仿宋_GBK" w:hAnsi="宋体" w:eastAsia="方正仿宋_GBK" w:cs="Times New Roman"/>
                <w:sz w:val="24"/>
              </w:rPr>
              <w:t>沙龙课</w:t>
            </w:r>
          </w:p>
        </w:tc>
        <w:tc>
          <w:tcPr>
            <w:tcW w:w="301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Times New Roman" w:eastAsia="方正仿宋_GBK" w:cs="Times New Roman"/>
                <w:sz w:val="24"/>
              </w:rPr>
            </w:pPr>
            <w:r>
              <w:rPr>
                <w:rFonts w:hint="eastAsia" w:ascii="方正仿宋_GBK" w:hAnsi="Times New Roman" w:eastAsia="方正仿宋_GBK" w:cs="Times New Roman"/>
                <w:sz w:val="24"/>
              </w:rPr>
              <w:t>48</w:t>
            </w:r>
          </w:p>
        </w:tc>
      </w:tr>
    </w:tbl>
    <w:p>
      <w:pPr>
        <w:widowControl/>
        <w:spacing w:line="600" w:lineRule="exact"/>
        <w:ind w:firstLine="720" w:firstLineChars="225"/>
        <w:jc w:val="lef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四、师资概况</w:t>
      </w:r>
    </w:p>
    <w:p>
      <w:pPr>
        <w:pStyle w:val="2"/>
        <w:spacing w:after="0" w:line="6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 xml:space="preserve">姜淏，女，硕士研究生，教学特长：英语听力、口语、阅读、写作。2007年毕业于英国约克大学，获硕士研究生文凭；在英国学习与工作7年，具有良好的英语基础及素养。曾担任市卫生健康委巴新医疗队、高端人才培养计划英语教学工作。 </w:t>
      </w:r>
    </w:p>
    <w:p>
      <w:pPr>
        <w:pStyle w:val="2"/>
        <w:spacing w:after="0" w:line="6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宁可，男，硕士研究生，教学特长：英语口语、听力。2001年6月毕业于西南大学</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 xml:space="preserve">2002年，赴德国埃斐经济学院大学外语教师研修班学习。曾担任市卫生健康委巴新医疗队、巴巴多斯医疗队、高端人才培养计划英语教学工作。 </w:t>
      </w:r>
    </w:p>
    <w:p>
      <w:pPr>
        <w:pStyle w:val="2"/>
        <w:spacing w:after="0" w:line="6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外籍教师：Eric，男，硕士，美国籍，6年ESL教学经验，精通剑桥英语的教学和研究。</w:t>
      </w:r>
      <w:r>
        <w:rPr>
          <w:rFonts w:hint="eastAsia" w:ascii="方正仿宋_GBK" w:hAnsi="Times New Roman" w:eastAsia="方正仿宋_GBK" w:cs="Times New Roman"/>
          <w:bCs/>
          <w:sz w:val="32"/>
          <w:szCs w:val="32"/>
        </w:rPr>
        <w:t>Gregory，男，硕士，澳大利亚籍，现任</w:t>
      </w:r>
      <w:r>
        <w:rPr>
          <w:rFonts w:hint="eastAsia" w:ascii="方正仿宋_GBK" w:hAnsi="Times New Roman" w:eastAsia="方正仿宋_GBK" w:cs="Times New Roman"/>
          <w:sz w:val="32"/>
          <w:szCs w:val="32"/>
        </w:rPr>
        <w:t>四川外国语大学英语阅读、英语口语、公共英语口语等课程教师。曾担任市卫生健康委巴新医疗队、巴巴多斯医疗队英语教学工作。</w:t>
      </w:r>
    </w:p>
    <w:p>
      <w:pPr>
        <w:widowControl/>
        <w:spacing w:line="600" w:lineRule="exact"/>
        <w:ind w:firstLine="640" w:firstLineChars="200"/>
        <w:jc w:val="lef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五、培训时间及地点</w:t>
      </w:r>
    </w:p>
    <w:p>
      <w:pPr>
        <w:widowControl/>
        <w:spacing w:line="600" w:lineRule="exact"/>
        <w:ind w:firstLine="627" w:firstLineChars="196"/>
        <w:jc w:val="left"/>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培训时间：2018年5月3日至7月28日，每周五、周六、周日9：00-12：00、13：00-16：00</w:t>
      </w:r>
      <w:r>
        <w:rPr>
          <w:rFonts w:hint="eastAsia" w:ascii="方正仿宋_GBK" w:hAnsi="Times New Roman" w:eastAsia="方正仿宋_GBK" w:cs="Times New Roman"/>
          <w:sz w:val="32"/>
          <w:szCs w:val="32"/>
        </w:rPr>
        <w:t>授课，</w:t>
      </w:r>
      <w:r>
        <w:rPr>
          <w:rFonts w:hint="eastAsia" w:ascii="方正仿宋_GBK" w:hAnsi="宋体" w:eastAsia="方正仿宋_GBK" w:cs="宋体"/>
          <w:kern w:val="0"/>
          <w:sz w:val="32"/>
          <w:szCs w:val="32"/>
        </w:rPr>
        <w:t>共288课时。</w:t>
      </w:r>
    </w:p>
    <w:p>
      <w:pPr>
        <w:widowControl/>
        <w:spacing w:line="600" w:lineRule="exact"/>
        <w:ind w:firstLine="627" w:firstLineChars="196"/>
        <w:jc w:val="left"/>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培训地点：重庆市卫生计生系统出国人员培训中心（市卫生计生委培训中心）大会议室，地址：江北区建新东路3号百业兴大厦21楼。</w:t>
      </w:r>
    </w:p>
    <w:p>
      <w:pPr>
        <w:widowControl/>
        <w:spacing w:line="600" w:lineRule="exact"/>
        <w:ind w:firstLine="640" w:firstLineChars="200"/>
        <w:jc w:val="lef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六、培训费用</w:t>
      </w:r>
    </w:p>
    <w:p>
      <w:pPr>
        <w:widowControl/>
        <w:spacing w:line="600" w:lineRule="exact"/>
        <w:ind w:firstLine="627" w:firstLineChars="196"/>
        <w:jc w:val="left"/>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培训费用：5600元/人，含培训费、教材费、资料费。</w:t>
      </w:r>
    </w:p>
    <w:p>
      <w:pPr>
        <w:widowControl/>
        <w:spacing w:line="600" w:lineRule="exact"/>
        <w:ind w:firstLine="662" w:firstLineChars="207"/>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账户名称：重庆市卫生服务中心；</w:t>
      </w:r>
    </w:p>
    <w:p>
      <w:pPr>
        <w:widowControl/>
        <w:spacing w:line="600" w:lineRule="exact"/>
        <w:ind w:firstLine="662" w:firstLineChars="207"/>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开户银行：重庆银行建新东路支行；</w:t>
      </w:r>
    </w:p>
    <w:p>
      <w:pPr>
        <w:widowControl/>
        <w:spacing w:line="600" w:lineRule="exact"/>
        <w:ind w:firstLine="662" w:firstLineChars="207"/>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账    号：240101040004794；</w:t>
      </w:r>
    </w:p>
    <w:p>
      <w:pPr>
        <w:widowControl/>
        <w:spacing w:line="600" w:lineRule="exact"/>
        <w:ind w:firstLine="662" w:firstLineChars="207"/>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请于2018年4月19日前完善报名手续。</w:t>
      </w:r>
    </w:p>
    <w:p>
      <w:pPr>
        <w:widowControl/>
        <w:spacing w:line="600" w:lineRule="exact"/>
        <w:ind w:firstLine="627" w:firstLineChars="196"/>
        <w:jc w:val="left"/>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七、培训纪律</w:t>
      </w:r>
    </w:p>
    <w:p>
      <w:pPr>
        <w:spacing w:line="6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（一）培训期间由班主任每天考勤，每周向市卫生健康委汇报一次考勤及学习情况，每月向学员公布考勤情况。</w:t>
      </w:r>
    </w:p>
    <w:p>
      <w:pPr>
        <w:spacing w:line="60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（二）参训学员需按规定完成学习计划，无特殊情况中途不得停学，缺课20%以上予以退学处理。</w:t>
      </w:r>
    </w:p>
    <w:p>
      <w:pPr>
        <w:numPr>
          <w:ilvl w:val="0"/>
          <w:numId w:val="1"/>
        </w:numPr>
        <w:spacing w:line="60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结业考试达到要求者，将获得重庆市卫生计生委培训中心颁发的《重庆市卫生健康系统公派出国储备人员英语进修班结业证书》，发放市级学分6分，进入“市卫生健康系统外语人才库”。</w:t>
      </w:r>
    </w:p>
    <w:p>
      <w:pPr>
        <w:numPr>
          <w:ilvl w:val="0"/>
          <w:numId w:val="1"/>
        </w:numPr>
        <w:spacing w:line="600" w:lineRule="exact"/>
        <w:ind w:firstLine="640" w:firstLineChars="200"/>
        <w:rPr>
          <w:rFonts w:hint="eastAsia" w:ascii="方正仿宋_GBK" w:hAnsi="宋体" w:eastAsia="方正仿宋_GBK" w:cs="宋体"/>
          <w:kern w:val="0"/>
          <w:sz w:val="32"/>
          <w:szCs w:val="32"/>
        </w:rPr>
      </w:pPr>
      <w:r>
        <w:rPr>
          <w:rFonts w:hint="eastAsia" w:ascii="方正仿宋_GBK" w:hAnsi="宋体" w:eastAsia="方正仿宋_GBK" w:cs="宋体"/>
          <w:kern w:val="0"/>
          <w:sz w:val="32"/>
          <w:szCs w:val="32"/>
        </w:rPr>
        <w:t>培训结束一周内，市卫生计生委培训中心将培训结业成绩和出勤情况书面通知各派员单位。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9A05E"/>
    <w:multiLevelType w:val="singleLevel"/>
    <w:tmpl w:val="5AB9A05E"/>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F3204"/>
    <w:rsid w:val="4B1F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uiPriority w:val="0"/>
    <w:pPr>
      <w:widowControl w:val="0"/>
      <w:spacing w:after="1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2019-03-20T08:53:00Z</dcterms:created>
  <dc:creator>PP</dc:creator>
  <cp:lastModifiedBy>PP</cp:lastModifiedBy>
  <dcterms:modified xsi:type="dcterms:W3CDTF">2019-03-20T08:53:39Z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