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名工作人员,现将有关要求公布如下：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Times New Roman" w:eastAsia="方正黑体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 xml:space="preserve">一、招聘岗位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临床医学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二、工作职责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1．掌握基础医学中临床医学的基本理论、基本知识；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2．掌握常见病名发病诊断处理的临床基本技能；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3．具有对急、难、重症的初步处理能力；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4．熟悉国家卫生工作方针、政策和法规；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5．掌握医学文献检索、资料调查的基本方法，具有一定的科学研究和实际工作能力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三、岗位要求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临床医学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药学、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医学检验技术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等相关专业；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2.硕士及以上学历；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4.有在医疗卫生单位工作经验者优先。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提供一份有竞争力的薪酬待遇。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（邮件标题请标明应聘岗位）。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面试时间另行通知，请保持通信畅通。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六、联系人及联系方式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老师，联系电话：023-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rPr>
          <w:rFonts w:hint="eastAsia" w:ascii="方正仿宋_GBK" w:eastAsia="方正仿宋_GBK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02C94943"/>
    <w:rsid w:val="03234C51"/>
    <w:rsid w:val="0D8D2267"/>
    <w:rsid w:val="1D425426"/>
    <w:rsid w:val="2BA3263D"/>
    <w:rsid w:val="3A904340"/>
    <w:rsid w:val="3CF70635"/>
    <w:rsid w:val="4D236632"/>
    <w:rsid w:val="53804423"/>
    <w:rsid w:val="69A904D6"/>
    <w:rsid w:val="6AA22118"/>
    <w:rsid w:val="6B8C1B19"/>
    <w:rsid w:val="712B60F8"/>
    <w:rsid w:val="799A12B2"/>
    <w:rsid w:val="7E667C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ScaleCrop>false</ScaleCrop>
  <LinksUpToDate>false</LinksUpToDate>
  <CharactersWithSpaces>442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Administrator</cp:lastModifiedBy>
  <cp:lastPrinted>2021-07-23T02:59:50Z</cp:lastPrinted>
  <dcterms:modified xsi:type="dcterms:W3CDTF">2021-07-23T03:02:59Z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