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b w:val="0"/>
          <w:bCs/>
          <w:sz w:val="44"/>
          <w:szCs w:val="44"/>
        </w:rPr>
      </w:pPr>
      <w:bookmarkStart w:id="0" w:name="_GoBack"/>
      <w:r>
        <w:rPr>
          <w:rFonts w:hint="eastAsia" w:ascii="方正小标宋_GBK" w:eastAsia="方正小标宋_GBK"/>
          <w:b w:val="0"/>
          <w:bCs/>
          <w:sz w:val="44"/>
          <w:szCs w:val="44"/>
        </w:rPr>
        <w:t>合川区人民医院硕士研究生人才需求计划</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b w:val="0"/>
          <w:bCs/>
          <w:sz w:val="44"/>
          <w:szCs w:val="44"/>
        </w:rPr>
      </w:pPr>
      <w:r>
        <w:rPr>
          <w:rFonts w:hint="eastAsia" w:ascii="方正小标宋_GBK" w:eastAsia="方正小标宋_GBK"/>
          <w:b w:val="0"/>
          <w:bCs/>
          <w:sz w:val="44"/>
          <w:szCs w:val="44"/>
        </w:rPr>
        <w:t>(带编制)</w:t>
      </w:r>
    </w:p>
    <w:p>
      <w:pPr>
        <w:keepNext w:val="0"/>
        <w:keepLines w:val="0"/>
        <w:pageBreakBefore w:val="0"/>
        <w:widowControl w:val="0"/>
        <w:kinsoku/>
        <w:wordWrap/>
        <w:overflowPunct/>
        <w:topLinePunct w:val="0"/>
        <w:autoSpaceDE/>
        <w:autoSpaceDN/>
        <w:bidi w:val="0"/>
        <w:adjustRightInd/>
        <w:snapToGrid/>
        <w:spacing w:line="560" w:lineRule="exact"/>
        <w:ind w:firstLine="1687" w:firstLineChars="600"/>
        <w:textAlignment w:val="auto"/>
        <w:rPr>
          <w:rFonts w:ascii="宋体" w:hAnsi="宋体" w:eastAsia="宋体" w:cs="宋体"/>
          <w:b/>
          <w:sz w:val="28"/>
          <w:szCs w:val="28"/>
        </w:rPr>
      </w:pPr>
      <w:r>
        <w:rPr>
          <w:rFonts w:hint="eastAsia" w:ascii="宋体" w:hAnsi="宋体" w:eastAsia="宋体" w:cs="宋体"/>
          <w:b/>
          <w:sz w:val="28"/>
          <w:szCs w:val="28"/>
        </w:rPr>
        <w:t>(岗位及条件以区人社局最终发布内容为准）</w:t>
      </w:r>
    </w:p>
    <w:tbl>
      <w:tblPr>
        <w:tblStyle w:val="2"/>
        <w:tblpPr w:leftFromText="180" w:rightFromText="180" w:vertAnchor="text" w:horzAnchor="margin" w:tblpXSpec="center" w:tblpY="314"/>
        <w:tblW w:w="10049" w:type="dxa"/>
        <w:tblInd w:w="0" w:type="dxa"/>
        <w:tblLayout w:type="fixed"/>
        <w:tblCellMar>
          <w:top w:w="0" w:type="dxa"/>
          <w:left w:w="108" w:type="dxa"/>
          <w:bottom w:w="0" w:type="dxa"/>
          <w:right w:w="108" w:type="dxa"/>
        </w:tblCellMar>
      </w:tblPr>
      <w:tblGrid>
        <w:gridCol w:w="652"/>
        <w:gridCol w:w="1188"/>
        <w:gridCol w:w="864"/>
        <w:gridCol w:w="1030"/>
        <w:gridCol w:w="1572"/>
        <w:gridCol w:w="1105"/>
        <w:gridCol w:w="3638"/>
      </w:tblGrid>
      <w:tr>
        <w:tblPrEx>
          <w:tblCellMar>
            <w:top w:w="0" w:type="dxa"/>
            <w:left w:w="108" w:type="dxa"/>
            <w:bottom w:w="0" w:type="dxa"/>
            <w:right w:w="108" w:type="dxa"/>
          </w:tblCellMar>
        </w:tblPrEx>
        <w:trPr>
          <w:trHeight w:val="578" w:hRule="atLeast"/>
        </w:trPr>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岗位</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申报计划数</w:t>
            </w:r>
          </w:p>
        </w:tc>
        <w:tc>
          <w:tcPr>
            <w:tcW w:w="10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年龄要求</w:t>
            </w:r>
          </w:p>
        </w:tc>
        <w:tc>
          <w:tcPr>
            <w:tcW w:w="157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专业要求</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学历学位要求</w:t>
            </w:r>
          </w:p>
        </w:tc>
        <w:tc>
          <w:tcPr>
            <w:tcW w:w="36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其他条件</w:t>
            </w:r>
          </w:p>
        </w:tc>
      </w:tr>
      <w:tr>
        <w:tblPrEx>
          <w:tblCellMar>
            <w:top w:w="0" w:type="dxa"/>
            <w:left w:w="108" w:type="dxa"/>
            <w:bottom w:w="0" w:type="dxa"/>
            <w:right w:w="108" w:type="dxa"/>
          </w:tblCellMar>
        </w:tblPrEx>
        <w:trPr>
          <w:trHeight w:val="1404"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呼吸与危重症医学科医师</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内科学（呼吸内科方向）</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2.提供与专业研究方向一致的证明；</w:t>
            </w:r>
          </w:p>
          <w:p>
            <w:pPr>
              <w:spacing w:line="28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3.须在2024年12月31日前取得与岗位专业一致的住院医师规范化培训合格证书或中级以上专业技术职称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1464"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神经内科医师</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神经病学</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2.须在2024年12月31日前取得与岗位专业一致的住院医师规范化培训合格证书或中级以上专业技术职称           3.须从事介入诊疗工作</w:t>
            </w:r>
          </w:p>
        </w:tc>
      </w:tr>
      <w:tr>
        <w:tblPrEx>
          <w:tblCellMar>
            <w:top w:w="0" w:type="dxa"/>
            <w:left w:w="108" w:type="dxa"/>
            <w:bottom w:w="0" w:type="dxa"/>
            <w:right w:w="108" w:type="dxa"/>
          </w:tblCellMar>
        </w:tblPrEx>
        <w:trPr>
          <w:trHeight w:val="1140"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w:t>
            </w:r>
          </w:p>
        </w:tc>
        <w:tc>
          <w:tcPr>
            <w:tcW w:w="1188" w:type="dxa"/>
            <w:tcBorders>
              <w:top w:val="nil"/>
              <w:left w:val="nil"/>
              <w:bottom w:val="single" w:color="auto" w:sz="4" w:space="0"/>
              <w:right w:val="single" w:color="auto" w:sz="4" w:space="0"/>
            </w:tcBorders>
            <w:shd w:val="clear" w:color="000000" w:fill="FFFFFF"/>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肿瘤科医师</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肿瘤学、放射肿瘤学</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145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骨科医师</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骨科学</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2.提供与专业研究方向一致的证明；</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3.须在2024年12月31日前取得与岗位专业一致的住院医师规范化培训合格证书或中级以上专业技术职称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151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肛肠科医师</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中医外科学（肛肠方向）</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2.提供与专业研究方向一致的证明；</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3.须在2024年12月31日前取得与岗位专业一致的住院医师规范化培训合格证书或中级以上专业技术职称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1608"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临床医师</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内科学、外科学、全科医学、急诊医学、老年医学、重症医学、中西医结合临床</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2064"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心电图室医师</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内科学、神经病学、全科医学、急诊医学、老年医学、重症医学、肿瘤学</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2.提供与专业研究方向一致的证明；</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3.须在2024年12月31日前取得与岗位专业一致的住院医师规范化培训合格证书或中级以上专业技术职称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1812" w:hRule="atLeast"/>
        </w:trPr>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8</w:t>
            </w:r>
          </w:p>
        </w:tc>
        <w:tc>
          <w:tcPr>
            <w:tcW w:w="1188"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口腔科医师1</w:t>
            </w:r>
          </w:p>
        </w:tc>
        <w:tc>
          <w:tcPr>
            <w:tcW w:w="86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口腔医学（口腔内科方向）</w:t>
            </w:r>
          </w:p>
        </w:tc>
        <w:tc>
          <w:tcPr>
            <w:tcW w:w="110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2.提供与专业研究方向一致的证明；</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3.须在2024年12月31日前取得与岗位专业一致的住院医师规范化培训合格证书或中级以上专业技术职称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1560"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9</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口腔科医师2</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口腔医学（颌面外科方向）</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2.提供与专业研究方向一致的证明；</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3.须在2024年12月31日前取得与岗位专业一致的住院医师规范化培训合格证书或中级以上专业技术职称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1608"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口腔科医师3</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口腔医学（儿童口腔医学方向）</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2.提供与专业研究方向一致的证明；</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3.须在2024年12月31日前取得与岗位专业一致的住院医师规范化培训合格证书或中级以上专业技术职称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1620"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11</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口腔科医师4</w:t>
            </w:r>
          </w:p>
        </w:tc>
        <w:tc>
          <w:tcPr>
            <w:tcW w:w="864" w:type="dxa"/>
            <w:tcBorders>
              <w:top w:val="nil"/>
              <w:left w:val="nil"/>
              <w:bottom w:val="single" w:color="auto" w:sz="4" w:space="0"/>
              <w:right w:val="single" w:color="auto" w:sz="4" w:space="0"/>
            </w:tcBorders>
            <w:shd w:val="clear" w:color="000000" w:fill="FFFFFF"/>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口腔医学（牙周病方向）</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2.提供与专业研究方向一致的证明；</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3.须在2024年12月31日前取得与岗位专业一致的住院医师规范化培训合格证书或中级以上专业技术职称</w:t>
            </w:r>
          </w:p>
        </w:tc>
      </w:tr>
      <w:tr>
        <w:tblPrEx>
          <w:tblCellMar>
            <w:top w:w="0" w:type="dxa"/>
            <w:left w:w="108" w:type="dxa"/>
            <w:bottom w:w="0" w:type="dxa"/>
            <w:right w:w="108" w:type="dxa"/>
          </w:tblCellMar>
        </w:tblPrEx>
        <w:trPr>
          <w:trHeight w:val="235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12</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超声科医师</w:t>
            </w:r>
          </w:p>
        </w:tc>
        <w:tc>
          <w:tcPr>
            <w:tcW w:w="864" w:type="dxa"/>
            <w:tcBorders>
              <w:top w:val="nil"/>
              <w:left w:val="nil"/>
              <w:bottom w:val="single" w:color="auto" w:sz="4" w:space="0"/>
              <w:right w:val="single" w:color="auto" w:sz="4" w:space="0"/>
            </w:tcBorders>
            <w:shd w:val="clear" w:color="000000" w:fill="FFFFFF"/>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影像医学与核医学、内科学、外科学、神经病学、全科医学、急诊医学、老年医学、重症医学、肿瘤学</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研究生学历并取得相应学位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1.取得执业医师资格证书；</w:t>
            </w:r>
          </w:p>
          <w:p>
            <w:pPr>
              <w:spacing w:line="280" w:lineRule="exact"/>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2.须在2024年12月31日前取得与岗位专业一致的住院医师规范化培训合格证书</w:t>
            </w:r>
          </w:p>
        </w:tc>
      </w:tr>
      <w:tr>
        <w:tblPrEx>
          <w:tblCellMar>
            <w:top w:w="0" w:type="dxa"/>
            <w:left w:w="108" w:type="dxa"/>
            <w:bottom w:w="0" w:type="dxa"/>
            <w:right w:w="108" w:type="dxa"/>
          </w:tblCellMar>
        </w:tblPrEx>
        <w:trPr>
          <w:trHeight w:val="1740"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13</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临床营养师</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营养与食品卫生学</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硕士研究生及以上学历并取得相应学位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p>
        </w:tc>
      </w:tr>
      <w:tr>
        <w:tblPrEx>
          <w:tblCellMar>
            <w:top w:w="0" w:type="dxa"/>
            <w:left w:w="108" w:type="dxa"/>
            <w:bottom w:w="0" w:type="dxa"/>
            <w:right w:w="108" w:type="dxa"/>
          </w:tblCellMar>
        </w:tblPrEx>
        <w:trPr>
          <w:trHeight w:val="1188"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14</w:t>
            </w:r>
          </w:p>
        </w:tc>
        <w:tc>
          <w:tcPr>
            <w:tcW w:w="118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护理岗</w:t>
            </w:r>
          </w:p>
        </w:tc>
        <w:tc>
          <w:tcPr>
            <w:tcW w:w="8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103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40周岁及以下</w:t>
            </w:r>
          </w:p>
        </w:tc>
        <w:tc>
          <w:tcPr>
            <w:tcW w:w="157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护理、护理学</w:t>
            </w:r>
          </w:p>
        </w:tc>
        <w:tc>
          <w:tcPr>
            <w:tcW w:w="1105"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硕士研究生及以上学历并取得相应学位</w:t>
            </w:r>
          </w:p>
        </w:tc>
        <w:tc>
          <w:tcPr>
            <w:tcW w:w="3638"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取得护士执业资格证书</w:t>
            </w:r>
          </w:p>
        </w:tc>
      </w:tr>
    </w:tbl>
    <w:p>
      <w:pPr>
        <w:spacing w:line="280" w:lineRule="exact"/>
        <w:ind w:firstLine="420" w:firstLineChars="200"/>
        <w:rPr>
          <w:rFonts w:asciiTheme="minorEastAsia" w:hAnsiTheme="minorEastAsia" w:cstheme="minorEastAsia"/>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62FE610A"/>
    <w:rsid w:val="62FE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2024-01-22T02:14:00Z</dcterms:created>
  <dc:creator>张竞予（璐璐）</dc:creator>
  <cp:lastModifiedBy>张竞予（璐璐）</cp:lastModifiedBy>
  <dcterms:modified xsi:type="dcterms:W3CDTF">2024-01-22T02:15:00Z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2F69B23BF2894404AE66C6C7AC37B0F2_11</vt:lpwstr>
  </property>
</Properties>
</file>